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608" w:rsidRDefault="00D42AEA">
      <w:pPr>
        <w:rPr>
          <w:rFonts w:ascii="Times New Roman" w:hAnsi="Times New Roman" w:cs="Times New Roman"/>
          <w:sz w:val="40"/>
          <w:szCs w:val="40"/>
        </w:rPr>
      </w:pPr>
      <w:r w:rsidRPr="00D42AEA">
        <w:rPr>
          <w:rFonts w:ascii="Times New Roman" w:hAnsi="Times New Roman" w:cs="Times New Roman"/>
          <w:sz w:val="40"/>
          <w:szCs w:val="40"/>
        </w:rPr>
        <w:t>KRİTİK SORULAR</w:t>
      </w:r>
    </w:p>
    <w:p w:rsidR="00D42AEA" w:rsidRDefault="00D42AEA">
      <w:pPr>
        <w:rPr>
          <w:rFonts w:ascii="Times New Roman" w:hAnsi="Times New Roman" w:cs="Times New Roman"/>
          <w:sz w:val="40"/>
          <w:szCs w:val="40"/>
        </w:rPr>
      </w:pPr>
    </w:p>
    <w:p w:rsidR="00D42AEA" w:rsidRDefault="00D42AEA">
      <w:pPr>
        <w:rPr>
          <w:rFonts w:ascii="Times New Roman" w:hAnsi="Times New Roman" w:cs="Times New Roman"/>
          <w:sz w:val="40"/>
          <w:szCs w:val="40"/>
        </w:rPr>
      </w:pPr>
    </w:p>
    <w:p w:rsidR="00D42AEA" w:rsidRDefault="00D42AEA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Ortaokullar   ayrı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stratejilere ihtiyaç duyacak bir bölüm olarak  değerlendirilip ayrı bir tema olarak ele alınmalıdır.</w:t>
      </w:r>
    </w:p>
    <w:p w:rsidR="00A635D3" w:rsidRPr="00A635D3" w:rsidRDefault="00A635D3" w:rsidP="00A635D3">
      <w:pPr>
        <w:ind w:left="360"/>
        <w:rPr>
          <w:rFonts w:ascii="Times New Roman" w:hAnsi="Times New Roman" w:cs="Times New Roman"/>
          <w:sz w:val="40"/>
          <w:szCs w:val="40"/>
        </w:rPr>
      </w:pPr>
    </w:p>
    <w:p w:rsidR="00D42AEA" w:rsidRDefault="00D42AEA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İmam hatip </w:t>
      </w:r>
      <w:proofErr w:type="gramStart"/>
      <w:r>
        <w:rPr>
          <w:rFonts w:ascii="Times New Roman" w:hAnsi="Times New Roman" w:cs="Times New Roman"/>
          <w:sz w:val="40"/>
          <w:szCs w:val="40"/>
        </w:rPr>
        <w:t>orta okulları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A635D3">
        <w:rPr>
          <w:rFonts w:ascii="Times New Roman" w:hAnsi="Times New Roman" w:cs="Times New Roman"/>
          <w:sz w:val="40"/>
          <w:szCs w:val="40"/>
        </w:rPr>
        <w:t>orta okul teması altında bağımsız olarak ele alınmalıdır.</w:t>
      </w:r>
    </w:p>
    <w:p w:rsidR="00A635D3" w:rsidRPr="00A635D3" w:rsidRDefault="00A635D3" w:rsidP="00A635D3">
      <w:pPr>
        <w:pStyle w:val="ListeParagraf"/>
        <w:rPr>
          <w:rFonts w:ascii="Times New Roman" w:hAnsi="Times New Roman" w:cs="Times New Roman"/>
          <w:sz w:val="40"/>
          <w:szCs w:val="40"/>
        </w:rPr>
      </w:pPr>
    </w:p>
    <w:p w:rsidR="00A635D3" w:rsidRDefault="00FD0157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Talim ve Terbiye  ile ilgili ayrı bir tema altında ele </w:t>
      </w:r>
      <w:proofErr w:type="gramStart"/>
      <w:r>
        <w:rPr>
          <w:rFonts w:ascii="Times New Roman" w:hAnsi="Times New Roman" w:cs="Times New Roman"/>
          <w:sz w:val="40"/>
          <w:szCs w:val="40"/>
        </w:rPr>
        <w:t>alınmalı</w:t>
      </w:r>
      <w:r w:rsidR="004A2F29">
        <w:rPr>
          <w:rFonts w:ascii="Times New Roman" w:hAnsi="Times New Roman" w:cs="Times New Roman"/>
          <w:sz w:val="40"/>
          <w:szCs w:val="40"/>
        </w:rPr>
        <w:t>,Denetim</w:t>
      </w:r>
      <w:proofErr w:type="gramEnd"/>
      <w:r w:rsidR="004A2F29">
        <w:rPr>
          <w:rFonts w:ascii="Times New Roman" w:hAnsi="Times New Roman" w:cs="Times New Roman"/>
          <w:sz w:val="40"/>
          <w:szCs w:val="40"/>
        </w:rPr>
        <w:t xml:space="preserve"> ve Rehberlik Birimi genel Kamu </w:t>
      </w:r>
      <w:proofErr w:type="spellStart"/>
      <w:r w:rsidR="004A2F29">
        <w:rPr>
          <w:rFonts w:ascii="Times New Roman" w:hAnsi="Times New Roman" w:cs="Times New Roman"/>
          <w:sz w:val="40"/>
          <w:szCs w:val="40"/>
        </w:rPr>
        <w:t>Faliiyetleri</w:t>
      </w:r>
      <w:proofErr w:type="spellEnd"/>
      <w:r w:rsidR="004A2F29">
        <w:rPr>
          <w:rFonts w:ascii="Times New Roman" w:hAnsi="Times New Roman" w:cs="Times New Roman"/>
          <w:sz w:val="40"/>
          <w:szCs w:val="40"/>
        </w:rPr>
        <w:t xml:space="preserve"> altında ele alınmalı</w:t>
      </w:r>
    </w:p>
    <w:p w:rsidR="00D42AEA" w:rsidRDefault="00D42AEA" w:rsidP="00A635D3">
      <w:pPr>
        <w:pStyle w:val="ListeParagraf"/>
        <w:rPr>
          <w:rFonts w:ascii="Times New Roman" w:hAnsi="Times New Roman" w:cs="Times New Roman"/>
          <w:sz w:val="40"/>
          <w:szCs w:val="40"/>
        </w:rPr>
      </w:pPr>
    </w:p>
    <w:p w:rsidR="00D42AEA" w:rsidRDefault="00D5528D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Yükseköğretim </w:t>
      </w:r>
      <w:proofErr w:type="spellStart"/>
      <w:r>
        <w:rPr>
          <w:rFonts w:ascii="Times New Roman" w:hAnsi="Times New Roman" w:cs="Times New Roman"/>
          <w:sz w:val="40"/>
          <w:szCs w:val="40"/>
        </w:rPr>
        <w:t>meb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içinde konumlandırılmalı stratejik faaliyetler başlığında ele alınmalı.</w:t>
      </w:r>
    </w:p>
    <w:p w:rsidR="00D42AEA" w:rsidRDefault="00D42AEA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Çıraklık eğitimi Mesleki </w:t>
      </w:r>
      <w:r w:rsidR="00A635D3">
        <w:rPr>
          <w:rFonts w:ascii="Times New Roman" w:hAnsi="Times New Roman" w:cs="Times New Roman"/>
          <w:sz w:val="40"/>
          <w:szCs w:val="40"/>
        </w:rPr>
        <w:t>Eğitim teması altında değerlendirmelidir.</w:t>
      </w:r>
    </w:p>
    <w:p w:rsidR="00A635D3" w:rsidRDefault="00104A61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Öğretmen yetiştirme politika ve uygulamaları ayrı bir tema olarak ele alınmalıdır.</w:t>
      </w:r>
    </w:p>
    <w:p w:rsidR="00104A61" w:rsidRDefault="00D5528D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Bilgi sınavına dayalı yapının kaldırılıp gerekli yasal düzenlemelerle desteklenerek okul derslerinin </w:t>
      </w:r>
      <w:proofErr w:type="spellStart"/>
      <w:r>
        <w:rPr>
          <w:rFonts w:ascii="Times New Roman" w:hAnsi="Times New Roman" w:cs="Times New Roman"/>
          <w:sz w:val="40"/>
          <w:szCs w:val="40"/>
        </w:rPr>
        <w:t>dersaneye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ihtiyaç duyulmayacak şekilde </w:t>
      </w:r>
      <w:proofErr w:type="gramStart"/>
      <w:r>
        <w:rPr>
          <w:rFonts w:ascii="Times New Roman" w:hAnsi="Times New Roman" w:cs="Times New Roman"/>
          <w:sz w:val="40"/>
          <w:szCs w:val="40"/>
        </w:rPr>
        <w:t>belirlenmelidir.</w:t>
      </w:r>
      <w:r w:rsidR="00AF61D1">
        <w:rPr>
          <w:rFonts w:ascii="Times New Roman" w:hAnsi="Times New Roman" w:cs="Times New Roman"/>
          <w:sz w:val="40"/>
          <w:szCs w:val="40"/>
        </w:rPr>
        <w:t>Öğretmen</w:t>
      </w:r>
      <w:proofErr w:type="gramEnd"/>
      <w:r w:rsidR="00AF61D1">
        <w:rPr>
          <w:rFonts w:ascii="Times New Roman" w:hAnsi="Times New Roman" w:cs="Times New Roman"/>
          <w:sz w:val="40"/>
          <w:szCs w:val="40"/>
        </w:rPr>
        <w:t xml:space="preserve"> yeterlilikleri, fiziksel alt </w:t>
      </w:r>
      <w:r w:rsidR="00AF61D1">
        <w:rPr>
          <w:rFonts w:ascii="Times New Roman" w:hAnsi="Times New Roman" w:cs="Times New Roman"/>
          <w:sz w:val="40"/>
          <w:szCs w:val="40"/>
        </w:rPr>
        <w:lastRenderedPageBreak/>
        <w:t>yapı ve kalite geliştirme çalışmalarına ağırlık verilmeli.</w:t>
      </w:r>
    </w:p>
    <w:p w:rsidR="00D5528D" w:rsidRDefault="00A24019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Konu bazlı bir yaklaşım </w:t>
      </w:r>
      <w:proofErr w:type="gramStart"/>
      <w:r>
        <w:rPr>
          <w:rFonts w:ascii="Times New Roman" w:hAnsi="Times New Roman" w:cs="Times New Roman"/>
          <w:sz w:val="40"/>
          <w:szCs w:val="40"/>
        </w:rPr>
        <w:t>sergilenmelidir.Değerler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eğitimi ile desteklenmelidir.</w:t>
      </w:r>
    </w:p>
    <w:p w:rsidR="00AF61D1" w:rsidRDefault="00AF61D1" w:rsidP="00D42AE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Özel öğretimin geliştirilmesi için teşvik sisteminin getirilmesi,</w:t>
      </w:r>
    </w:p>
    <w:p w:rsidR="00AF61D1" w:rsidRDefault="00AF61D1" w:rsidP="00AF61D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Büyük oranda örtüşmekte ancak basın ve halkla ilişkiler, illerde bakanlığa paralel her birim kendi proje ekiplerini kurmaya başladı  bu durum projeler koordinasyon açısından </w:t>
      </w:r>
      <w:proofErr w:type="gramStart"/>
      <w:r>
        <w:rPr>
          <w:rFonts w:ascii="Times New Roman" w:hAnsi="Times New Roman" w:cs="Times New Roman"/>
          <w:sz w:val="40"/>
          <w:szCs w:val="40"/>
        </w:rPr>
        <w:t>sıkıntı,</w:t>
      </w:r>
      <w:r w:rsidR="00A24019">
        <w:rPr>
          <w:rFonts w:ascii="Times New Roman" w:hAnsi="Times New Roman" w:cs="Times New Roman"/>
          <w:sz w:val="40"/>
          <w:szCs w:val="40"/>
        </w:rPr>
        <w:t>Bazı</w:t>
      </w:r>
      <w:proofErr w:type="gramEnd"/>
      <w:r w:rsidR="00A24019">
        <w:rPr>
          <w:rFonts w:ascii="Times New Roman" w:hAnsi="Times New Roman" w:cs="Times New Roman"/>
          <w:sz w:val="40"/>
          <w:szCs w:val="40"/>
        </w:rPr>
        <w:t xml:space="preserve"> illerde uygulanan koordinatörlük sisteminin yeniden değerlendirilmesi,İllerin </w:t>
      </w:r>
      <w:proofErr w:type="spellStart"/>
      <w:r w:rsidR="00A24019">
        <w:rPr>
          <w:rFonts w:ascii="Times New Roman" w:hAnsi="Times New Roman" w:cs="Times New Roman"/>
          <w:sz w:val="40"/>
          <w:szCs w:val="40"/>
        </w:rPr>
        <w:t>nufus</w:t>
      </w:r>
      <w:proofErr w:type="spellEnd"/>
      <w:r w:rsidR="00A24019">
        <w:rPr>
          <w:rFonts w:ascii="Times New Roman" w:hAnsi="Times New Roman" w:cs="Times New Roman"/>
          <w:sz w:val="40"/>
          <w:szCs w:val="40"/>
        </w:rPr>
        <w:t xml:space="preserve"> yoğunluğu ve kurum sayısına göre yönetici kadrolarının </w:t>
      </w:r>
      <w:r w:rsidR="009B5B5A">
        <w:rPr>
          <w:rFonts w:ascii="Times New Roman" w:hAnsi="Times New Roman" w:cs="Times New Roman"/>
          <w:sz w:val="40"/>
          <w:szCs w:val="40"/>
        </w:rPr>
        <w:t xml:space="preserve">yeniden ele alınması,İl </w:t>
      </w:r>
      <w:proofErr w:type="spellStart"/>
      <w:r w:rsidR="009B5B5A">
        <w:rPr>
          <w:rFonts w:ascii="Times New Roman" w:hAnsi="Times New Roman" w:cs="Times New Roman"/>
          <w:sz w:val="40"/>
          <w:szCs w:val="40"/>
        </w:rPr>
        <w:t>mem</w:t>
      </w:r>
      <w:proofErr w:type="spellEnd"/>
      <w:r w:rsidR="009B5B5A">
        <w:rPr>
          <w:rFonts w:ascii="Times New Roman" w:hAnsi="Times New Roman" w:cs="Times New Roman"/>
          <w:sz w:val="40"/>
          <w:szCs w:val="40"/>
        </w:rPr>
        <w:t xml:space="preserve"> yönetici iş tanımlarının gözden geçirilmesi,Spor  faaliyetlerinin yönetimi,</w:t>
      </w:r>
    </w:p>
    <w:p w:rsidR="00AF61D1" w:rsidRDefault="00AF61D1" w:rsidP="00AF61D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Sosyal medya eğitim mecrası olarak özellikle hayat boyu eğit</w:t>
      </w:r>
      <w:r w:rsidR="009B5B5A">
        <w:rPr>
          <w:rFonts w:ascii="Times New Roman" w:hAnsi="Times New Roman" w:cs="Times New Roman"/>
          <w:sz w:val="40"/>
          <w:szCs w:val="40"/>
        </w:rPr>
        <w:t>im kapsamında öne çıkarılabilir</w:t>
      </w:r>
      <w:r>
        <w:rPr>
          <w:rFonts w:ascii="Times New Roman" w:hAnsi="Times New Roman" w:cs="Times New Roman"/>
          <w:sz w:val="40"/>
          <w:szCs w:val="40"/>
        </w:rPr>
        <w:t>.</w:t>
      </w:r>
      <w:r w:rsidR="0073060F">
        <w:rPr>
          <w:rFonts w:ascii="Times New Roman" w:hAnsi="Times New Roman" w:cs="Times New Roman"/>
          <w:sz w:val="40"/>
          <w:szCs w:val="40"/>
        </w:rPr>
        <w:t xml:space="preserve"> </w:t>
      </w:r>
      <w:r w:rsidR="009B5B5A">
        <w:rPr>
          <w:rFonts w:ascii="Times New Roman" w:hAnsi="Times New Roman" w:cs="Times New Roman"/>
          <w:sz w:val="40"/>
          <w:szCs w:val="40"/>
        </w:rPr>
        <w:t>Sosyal medya eğitimde kullanılmalı,</w:t>
      </w:r>
    </w:p>
    <w:p w:rsidR="00AF61D1" w:rsidRDefault="00AF61D1" w:rsidP="00AF61D1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Eğitimde konu anlatım modeli yerine yaparak yaşayarak eğitim yaklaşımları tercih edilmeli,</w:t>
      </w:r>
      <w:r w:rsidR="0073060F">
        <w:rPr>
          <w:rFonts w:ascii="Times New Roman" w:hAnsi="Times New Roman" w:cs="Times New Roman"/>
          <w:sz w:val="40"/>
          <w:szCs w:val="40"/>
        </w:rPr>
        <w:t xml:space="preserve"> Mesleki eğitimde sektörle birlikte eğitim yaklaşımı tercih edilmeli,</w:t>
      </w:r>
    </w:p>
    <w:p w:rsidR="00FA4D53" w:rsidRDefault="00FA4D53" w:rsidP="00FA4D53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MEB temel faaliyetler içinde İnsan Kaynakları ayrı bir tema olarak ele alınmalı.</w:t>
      </w:r>
    </w:p>
    <w:p w:rsidR="00FA4D53" w:rsidRPr="00FA4D53" w:rsidRDefault="00FA4D53" w:rsidP="00FA4D53">
      <w:pPr>
        <w:jc w:val="both"/>
        <w:rPr>
          <w:rFonts w:ascii="Times New Roman" w:hAnsi="Times New Roman" w:cs="Times New Roman"/>
          <w:sz w:val="40"/>
          <w:szCs w:val="40"/>
        </w:rPr>
      </w:pPr>
    </w:p>
    <w:sectPr w:rsidR="00FA4D53" w:rsidRPr="00FA4D53" w:rsidSect="00B44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1497A"/>
    <w:multiLevelType w:val="hybridMultilevel"/>
    <w:tmpl w:val="3B78B5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2014B"/>
    <w:multiLevelType w:val="hybridMultilevel"/>
    <w:tmpl w:val="8F88E13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42AEA"/>
    <w:rsid w:val="00104A61"/>
    <w:rsid w:val="00373EAC"/>
    <w:rsid w:val="004A2F29"/>
    <w:rsid w:val="00697D2A"/>
    <w:rsid w:val="0073060F"/>
    <w:rsid w:val="00771612"/>
    <w:rsid w:val="009B5B5A"/>
    <w:rsid w:val="00A24019"/>
    <w:rsid w:val="00A635D3"/>
    <w:rsid w:val="00AF61D1"/>
    <w:rsid w:val="00B44608"/>
    <w:rsid w:val="00D42AEA"/>
    <w:rsid w:val="00D5528D"/>
    <w:rsid w:val="00FA4D53"/>
    <w:rsid w:val="00FD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6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2013-12-10T09:29:00Z</dcterms:created>
  <dcterms:modified xsi:type="dcterms:W3CDTF">2013-12-10T12:32:00Z</dcterms:modified>
</cp:coreProperties>
</file>